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lang w:val="en-US" w:eastAsia="zh-CN"/>
              </w:rPr>
              <w:t>03.160</w:t>
            </w:r>
            <w:r>
              <w:rPr>
                <w:rFonts w:ascii="黑体" w:hAnsi="黑体" w:eastAsia="黑体"/>
                <w:sz w:val="21"/>
                <w:szCs w:val="21"/>
              </w:rPr>
              <w:t xml:space="preserve">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lang w:eastAsia="zh-CN"/>
              </w:rPr>
              <w:t>A</w:t>
            </w:r>
            <w:r>
              <w:rPr>
                <w:rFonts w:hint="eastAsia" w:ascii="黑体" w:hAnsi="黑体" w:eastAsia="黑体"/>
                <w:sz w:val="21"/>
                <w:szCs w:val="21"/>
                <w:lang w:val="en-US" w:eastAsia="zh-CN"/>
              </w:rPr>
              <w:t xml:space="preserve"> 16</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3708</w:t>
            </w:r>
            <w:r>
              <w:fldChar w:fldCharType="end"/>
            </w:r>
            <w:bookmarkEnd w:id="3"/>
          </w:p>
        </w:tc>
      </w:tr>
    </w:tbl>
    <w:p>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济宁市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3708</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rPr>
        <w:t>2024</w:t>
      </w:r>
      <w:r>
        <w:fldChar w:fldCharType="end"/>
      </w:r>
      <w:bookmarkEnd w:id="7"/>
    </w:p>
    <w:p>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建设工程规划批后管理服务规范</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hint="eastAsia" w:ascii="黑体" w:hAnsi="黑体" w:eastAsia="黑体"/>
          <w:szCs w:val="28"/>
        </w:rPr>
        <w:t>Service specifications</w:t>
      </w:r>
      <w:r>
        <w:rPr>
          <w:rFonts w:ascii="黑体" w:hAnsi="黑体" w:eastAsia="黑体"/>
          <w:szCs w:val="28"/>
        </w:rPr>
        <w:t xml:space="preserve"> for post</w:t>
      </w:r>
      <w:r>
        <w:rPr>
          <w:rFonts w:hint="eastAsia" w:ascii="黑体" w:hAnsi="黑体" w:eastAsia="黑体"/>
          <w:szCs w:val="28"/>
          <w:lang w:val="en-US" w:eastAsia="zh-CN"/>
        </w:rPr>
        <w:t>-</w:t>
      </w:r>
      <w:r>
        <w:rPr>
          <w:rFonts w:ascii="黑体" w:hAnsi="黑体" w:eastAsia="黑体"/>
          <w:szCs w:val="28"/>
        </w:rPr>
        <w:t xml:space="preserve">approval management </w:t>
      </w:r>
      <w:r>
        <w:rPr>
          <w:rFonts w:hint="eastAsia" w:ascii="黑体" w:hAnsi="黑体" w:eastAsia="黑体"/>
          <w:szCs w:val="28"/>
          <w:lang w:val="en-US" w:eastAsia="zh-CN"/>
        </w:rPr>
        <w:t>of</w:t>
      </w:r>
      <w:r>
        <w:rPr>
          <w:rFonts w:ascii="黑体" w:hAnsi="黑体" w:eastAsia="黑体"/>
          <w:szCs w:val="28"/>
        </w:rPr>
        <w:t xml:space="preserve"> construction project planning</w:t>
      </w:r>
      <w:r>
        <w:rPr>
          <w:rFonts w:ascii="黑体" w:hAnsi="黑体"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济宁市市场监督管理局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1"/>
        <w:spacing w:after="468"/>
      </w:pPr>
      <w:bookmarkStart w:id="21" w:name="BookMark1"/>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TOC \o "1-1" \h </w:instrText>
      </w:r>
      <w:r>
        <w:fldChar w:fldCharType="separate"/>
      </w:r>
      <w:r>
        <w:fldChar w:fldCharType="begin"/>
      </w:r>
      <w:r>
        <w:instrText xml:space="preserve"> HYPERLINK \l "_Toc172036304" </w:instrText>
      </w:r>
      <w:r>
        <w:fldChar w:fldCharType="separate"/>
      </w:r>
      <w:r>
        <w:rPr>
          <w:rStyle w:val="32"/>
        </w:rPr>
        <w:t>前言</w:t>
      </w:r>
      <w:r>
        <w:tab/>
      </w:r>
      <w:r>
        <w:fldChar w:fldCharType="begin"/>
      </w:r>
      <w:r>
        <w:instrText xml:space="preserve"> PAGEREF _Toc172036304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"_Toc172036305" </w:instrText>
      </w:r>
      <w:r>
        <w:fldChar w:fldCharType="separate"/>
      </w:r>
      <w:r>
        <w:rPr>
          <w:rStyle w:val="32"/>
        </w:rPr>
        <w:t>1  范围</w:t>
      </w:r>
      <w:r>
        <w:tab/>
      </w:r>
      <w:r>
        <w:fldChar w:fldCharType="begin"/>
      </w:r>
      <w:r>
        <w:instrText xml:space="preserve"> PAGEREF _Toc172036305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"_Toc172036306" </w:instrText>
      </w:r>
      <w:r>
        <w:fldChar w:fldCharType="separate"/>
      </w:r>
      <w:r>
        <w:rPr>
          <w:rStyle w:val="32"/>
        </w:rPr>
        <w:t>2  规范性引用文件</w:t>
      </w:r>
      <w:r>
        <w:tab/>
      </w:r>
      <w:r>
        <w:fldChar w:fldCharType="begin"/>
      </w:r>
      <w:r>
        <w:instrText xml:space="preserve"> PAGEREF _Toc172036306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"_Toc172036307" </w:instrText>
      </w:r>
      <w:r>
        <w:fldChar w:fldCharType="separate"/>
      </w:r>
      <w:r>
        <w:rPr>
          <w:rStyle w:val="32"/>
        </w:rPr>
        <w:t>3  术语和定义</w:t>
      </w:r>
      <w:r>
        <w:tab/>
      </w:r>
      <w:r>
        <w:fldChar w:fldCharType="begin"/>
      </w:r>
      <w:r>
        <w:instrText xml:space="preserve"> PAGEREF _Toc172036307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"_Toc172036308" </w:instrText>
      </w:r>
      <w:r>
        <w:fldChar w:fldCharType="separate"/>
      </w:r>
      <w:r>
        <w:rPr>
          <w:rStyle w:val="32"/>
        </w:rPr>
        <w:t>4  一般要求</w:t>
      </w:r>
      <w:r>
        <w:tab/>
      </w:r>
      <w:r>
        <w:fldChar w:fldCharType="begin"/>
      </w:r>
      <w:r>
        <w:instrText xml:space="preserve"> PAGEREF _Toc172036308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"_Toc172036309" </w:instrText>
      </w:r>
      <w:r>
        <w:fldChar w:fldCharType="separate"/>
      </w:r>
      <w:r>
        <w:rPr>
          <w:rStyle w:val="32"/>
        </w:rPr>
        <w:t>5  管理服务人员配置要求</w:t>
      </w:r>
      <w:r>
        <w:tab/>
      </w:r>
      <w:r>
        <w:fldChar w:fldCharType="begin"/>
      </w:r>
      <w:r>
        <w:instrText xml:space="preserve"> PAGEREF _Toc172036309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"_Toc172036310" </w:instrText>
      </w:r>
      <w:r>
        <w:fldChar w:fldCharType="separate"/>
      </w:r>
      <w:r>
        <w:rPr>
          <w:rStyle w:val="32"/>
        </w:rPr>
        <w:t>6  工作流程</w:t>
      </w:r>
      <w:r>
        <w:tab/>
      </w:r>
      <w:r>
        <w:fldChar w:fldCharType="begin"/>
      </w:r>
      <w:r>
        <w:instrText xml:space="preserve"> PAGEREF _Toc172036310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"_Toc172036311" </w:instrText>
      </w:r>
      <w:r>
        <w:fldChar w:fldCharType="separate"/>
      </w:r>
      <w:r>
        <w:rPr>
          <w:rStyle w:val="32"/>
        </w:rPr>
        <w:t>7  保障措施</w:t>
      </w:r>
      <w:r>
        <w:tab/>
      </w:r>
      <w:r>
        <w:fldChar w:fldCharType="begin"/>
      </w:r>
      <w:r>
        <w:instrText xml:space="preserve"> PAGEREF _Toc172036311 \h </w:instrText>
      </w:r>
      <w:r>
        <w:fldChar w:fldCharType="separate"/>
      </w:r>
      <w:r>
        <w:t>3</w:t>
      </w:r>
      <w:r>
        <w:fldChar w:fldCharType="end"/>
      </w:r>
      <w:r>
        <w:fldChar w:fldCharType="end"/>
      </w:r>
    </w:p>
    <w:p>
      <w:pPr>
        <w:pStyle w:val="91"/>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pPr>
        <w:pStyle w:val="89"/>
        <w:spacing w:before="900" w:after="468"/>
      </w:pPr>
      <w:bookmarkStart w:id="22" w:name="_Toc172036304"/>
      <w:bookmarkStart w:id="23" w:name="BookMark2"/>
      <w:r>
        <w:rPr>
          <w:spacing w:val="320"/>
        </w:rPr>
        <w:t>前</w:t>
      </w:r>
      <w:r>
        <w:t>言</w:t>
      </w:r>
      <w:bookmarkEnd w:id="22"/>
    </w:p>
    <w:p>
      <w:pPr>
        <w:pStyle w:val="56"/>
        <w:ind w:firstLine="420"/>
      </w:pPr>
      <w:r>
        <w:rPr>
          <w:rFonts w:hint="eastAsia"/>
        </w:rPr>
        <w:t>本文件按照GB/T 1.1—2020《标准化工作导则  第1部分：标准化文件的结构和起草规则》的规定起草。</w:t>
      </w:r>
    </w:p>
    <w:p>
      <w:pPr>
        <w:pStyle w:val="56"/>
        <w:ind w:firstLine="420"/>
      </w:pPr>
      <w:r>
        <w:rPr>
          <w:rFonts w:hint="eastAsia"/>
        </w:rPr>
        <w:t>请注意本文件的某些内容可能涉及专利。本文件的发布机构不承担识别专利的责任。</w:t>
      </w:r>
    </w:p>
    <w:p>
      <w:pPr>
        <w:pStyle w:val="56"/>
        <w:ind w:firstLine="420"/>
        <w:rPr>
          <w:rFonts w:hint="eastAsia"/>
        </w:rPr>
      </w:pPr>
      <w:r>
        <w:rPr>
          <w:rFonts w:hint="eastAsia"/>
        </w:rPr>
        <w:t>本文件由济宁市城市管理局提出、归口并组织实施。</w:t>
      </w:r>
    </w:p>
    <w:p>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23"/>
    <w:p>
      <w:pPr>
        <w:spacing w:line="20" w:lineRule="exact"/>
        <w:jc w:val="center"/>
        <w:rPr>
          <w:rFonts w:ascii="黑体" w:hAnsi="黑体" w:eastAsia="黑体"/>
          <w:sz w:val="32"/>
          <w:szCs w:val="32"/>
        </w:rPr>
      </w:pPr>
      <w:bookmarkStart w:id="24" w:name="BookMark4"/>
    </w:p>
    <w:p>
      <w:pPr>
        <w:spacing w:line="20" w:lineRule="exact"/>
        <w:jc w:val="center"/>
        <w:rPr>
          <w:rFonts w:ascii="黑体" w:hAnsi="黑体" w:eastAsia="黑体"/>
          <w:sz w:val="32"/>
          <w:szCs w:val="32"/>
        </w:rPr>
      </w:pPr>
    </w:p>
    <w:sdt>
      <w:sdtPr>
        <w:tag w:val="NEW_STAND_NAME"/>
        <w:id w:val="595910757"/>
        <w:lock w:val="sdtLocked"/>
        <w:placeholder>
          <w:docPart w:val="13C551BDE5804B49AB9DB70B5CBD44FD"/>
        </w:placeholder>
      </w:sdtPr>
      <w:sdtContent>
        <w:p>
          <w:pPr>
            <w:pStyle w:val="177"/>
            <w:spacing w:before="3" w:beforeLines="1" w:after="686" w:afterLines="220"/>
          </w:pPr>
          <w:bookmarkStart w:id="25" w:name="NEW_STAND_NAME"/>
          <w:r>
            <w:rPr>
              <w:rFonts w:hint="eastAsia"/>
            </w:rPr>
            <w:t>建设工程规划批后管理服务规范</w:t>
          </w:r>
        </w:p>
      </w:sdtContent>
    </w:sdt>
    <w:bookmarkEnd w:id="25"/>
    <w:p>
      <w:pPr>
        <w:pStyle w:val="104"/>
        <w:spacing w:before="312" w:after="312"/>
      </w:pPr>
      <w:bookmarkStart w:id="26" w:name="_Toc26986771"/>
      <w:bookmarkStart w:id="27" w:name="_Toc26648465"/>
      <w:bookmarkStart w:id="28" w:name="_Toc24884211"/>
      <w:bookmarkStart w:id="29" w:name="_Toc17233325"/>
      <w:bookmarkStart w:id="30" w:name="_Toc172036305"/>
      <w:bookmarkStart w:id="31" w:name="_Toc17233333"/>
      <w:bookmarkStart w:id="32" w:name="_Toc97191423"/>
      <w:bookmarkStart w:id="33" w:name="_Toc24884218"/>
      <w:bookmarkStart w:id="34" w:name="_Toc26986530"/>
      <w:bookmarkStart w:id="35" w:name="_Toc26718930"/>
      <w:r>
        <w:rPr>
          <w:rFonts w:hint="eastAsia"/>
        </w:rPr>
        <w:t>范围</w:t>
      </w:r>
      <w:bookmarkEnd w:id="26"/>
      <w:bookmarkEnd w:id="27"/>
      <w:bookmarkEnd w:id="28"/>
      <w:bookmarkEnd w:id="29"/>
      <w:bookmarkEnd w:id="30"/>
      <w:bookmarkEnd w:id="31"/>
      <w:bookmarkEnd w:id="32"/>
      <w:bookmarkEnd w:id="33"/>
      <w:bookmarkEnd w:id="34"/>
      <w:bookmarkEnd w:id="35"/>
    </w:p>
    <w:p>
      <w:pPr>
        <w:pStyle w:val="56"/>
        <w:ind w:firstLine="420"/>
      </w:pPr>
      <w:bookmarkStart w:id="36" w:name="_Toc24884212"/>
      <w:bookmarkStart w:id="37" w:name="_Toc17233334"/>
      <w:bookmarkStart w:id="38" w:name="_Toc17233326"/>
      <w:bookmarkStart w:id="39" w:name="_Toc26648466"/>
      <w:bookmarkStart w:id="40" w:name="_Toc24884219"/>
      <w:r>
        <w:rPr>
          <w:rFonts w:hint="eastAsia"/>
        </w:rPr>
        <w:t>本文件规定了建设工程规划批后管理</w:t>
      </w:r>
      <w:r>
        <w:rPr>
          <w:rFonts w:hint="eastAsia"/>
          <w:highlight w:val="none"/>
        </w:rPr>
        <w:t>服务</w:t>
      </w:r>
      <w:r>
        <w:rPr>
          <w:rFonts w:hint="eastAsia"/>
        </w:rPr>
        <w:t>的一般要求、管理服务人员配置要求、工作流程以及保障措施。</w:t>
      </w:r>
    </w:p>
    <w:p>
      <w:pPr>
        <w:pStyle w:val="56"/>
        <w:ind w:firstLine="420"/>
      </w:pPr>
      <w:r>
        <w:rPr>
          <w:rFonts w:hint="eastAsia"/>
        </w:rPr>
        <w:t>本文件适用于济宁市建设工程规划批后管理服务</w:t>
      </w:r>
      <w:r>
        <w:rPr>
          <w:rFonts w:hint="eastAsia"/>
          <w:lang w:val="en-US" w:eastAsia="zh-CN"/>
        </w:rPr>
        <w:t>的实施</w:t>
      </w:r>
      <w:r>
        <w:rPr>
          <w:rFonts w:hint="eastAsia"/>
        </w:rPr>
        <w:t>。</w:t>
      </w:r>
    </w:p>
    <w:p>
      <w:pPr>
        <w:pStyle w:val="104"/>
        <w:spacing w:before="312" w:after="312"/>
      </w:pPr>
      <w:bookmarkStart w:id="41" w:name="_Toc26718931"/>
      <w:bookmarkStart w:id="42" w:name="_Toc97191424"/>
      <w:bookmarkStart w:id="43" w:name="_Toc172036306"/>
      <w:bookmarkStart w:id="44" w:name="_Toc26986531"/>
      <w:bookmarkStart w:id="45" w:name="_Toc26986772"/>
      <w:r>
        <w:rPr>
          <w:rFonts w:hint="eastAsia"/>
        </w:rPr>
        <w:t>规范性引用文件</w:t>
      </w:r>
      <w:bookmarkEnd w:id="36"/>
      <w:bookmarkEnd w:id="37"/>
      <w:bookmarkEnd w:id="38"/>
      <w:bookmarkEnd w:id="39"/>
      <w:bookmarkEnd w:id="40"/>
      <w:bookmarkEnd w:id="41"/>
      <w:bookmarkEnd w:id="42"/>
      <w:bookmarkEnd w:id="43"/>
      <w:bookmarkEnd w:id="44"/>
      <w:bookmarkEnd w:id="45"/>
    </w:p>
    <w:sdt>
      <w:sdtPr>
        <w:rPr>
          <w:rFonts w:hint="eastAsia"/>
        </w:rPr>
        <w:id w:val="715848253"/>
        <w:placeholder>
          <w:docPart w:val="DCEE669C2D854F4486F88DD1866CE9F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本文件没有规范性引用文件。</w:t>
          </w:r>
        </w:p>
      </w:sdtContent>
    </w:sdt>
    <w:p>
      <w:pPr>
        <w:pStyle w:val="104"/>
        <w:spacing w:before="312" w:after="312"/>
      </w:pPr>
      <w:bookmarkStart w:id="46" w:name="_Toc97191425"/>
      <w:bookmarkStart w:id="47" w:name="_Toc172036307"/>
      <w:r>
        <w:rPr>
          <w:rFonts w:hint="eastAsia"/>
          <w:szCs w:val="21"/>
        </w:rPr>
        <w:t>术语和定义</w:t>
      </w:r>
      <w:bookmarkEnd w:id="46"/>
      <w:bookmarkEnd w:id="47"/>
    </w:p>
    <w:sdt>
      <w:sdtPr>
        <w:id w:val="-1909835108"/>
        <w:placeholder>
          <w:docPart w:val="901DEACA262F4E1183C7DC688509846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48" w:name="_Toc26986532"/>
          <w:bookmarkEnd w:id="48"/>
          <w:r>
            <w:t>下列术语和定义适用于本文件。</w:t>
          </w:r>
        </w:p>
      </w:sdtContent>
    </w:sdt>
    <w:p>
      <w:pPr>
        <w:pStyle w:val="223"/>
        <w:rPr>
          <w:rFonts w:ascii="Times New Roman" w:eastAsia="黑体"/>
        </w:rPr>
      </w:pPr>
      <w:r>
        <w:rPr>
          <w:rFonts w:ascii="黑体" w:hAnsi="黑体" w:eastAsia="黑体"/>
        </w:rPr>
        <w:br w:type="textWrapping"/>
      </w:r>
      <w:r>
        <w:rPr>
          <w:rFonts w:hint="eastAsia" w:ascii="黑体" w:hAnsi="黑体" w:eastAsia="黑体"/>
        </w:rPr>
        <w:t xml:space="preserve">    建设工程规划批后管理</w:t>
      </w:r>
      <w:r>
        <w:rPr>
          <w:rFonts w:hint="eastAsia" w:ascii="黑体" w:hAnsi="黑体" w:eastAsia="黑体"/>
          <w:b w:val="0"/>
          <w:bCs w:val="0"/>
          <w:highlight w:val="none"/>
        </w:rPr>
        <w:t>服务</w:t>
      </w:r>
      <w:r>
        <w:rPr>
          <w:rFonts w:hint="eastAsia" w:ascii="黑体" w:hAnsi="黑体" w:eastAsia="黑体"/>
        </w:rPr>
        <w:t xml:space="preserve"> </w:t>
      </w:r>
      <w:r>
        <w:rPr>
          <w:rFonts w:ascii="Times New Roman" w:eastAsia="黑体"/>
        </w:rPr>
        <w:t xml:space="preserve"> post</w:t>
      </w:r>
      <w:r>
        <w:rPr>
          <w:rFonts w:hint="eastAsia" w:ascii="Times New Roman" w:eastAsia="黑体"/>
          <w:lang w:val="en-US" w:eastAsia="zh-CN"/>
        </w:rPr>
        <w:t>-</w:t>
      </w:r>
      <w:r>
        <w:rPr>
          <w:rFonts w:ascii="Times New Roman" w:eastAsia="黑体"/>
        </w:rPr>
        <w:t xml:space="preserve">approval management services </w:t>
      </w:r>
      <w:r>
        <w:rPr>
          <w:rFonts w:hint="eastAsia" w:ascii="Times New Roman" w:eastAsia="黑体"/>
          <w:lang w:val="en-US" w:eastAsia="zh-CN"/>
        </w:rPr>
        <w:t>of</w:t>
      </w:r>
      <w:r>
        <w:rPr>
          <w:rFonts w:ascii="Times New Roman" w:eastAsia="黑体"/>
        </w:rPr>
        <w:t xml:space="preserve"> construction project planning</w:t>
      </w:r>
    </w:p>
    <w:p>
      <w:pPr>
        <w:pStyle w:val="56"/>
        <w:ind w:firstLine="420"/>
      </w:pPr>
      <w:r>
        <w:rPr>
          <w:rFonts w:hint="eastAsia"/>
        </w:rPr>
        <w:t>对已取得建设工程规划许可证的建筑工程、管线与交通工程等所开展的规划验线、正负零复验、色彩材质认定、竣工规划核实等监督管理工作。</w:t>
      </w:r>
    </w:p>
    <w:p>
      <w:pPr>
        <w:pStyle w:val="104"/>
        <w:spacing w:before="312" w:after="312"/>
      </w:pPr>
      <w:bookmarkStart w:id="49" w:name="_Toc172036308"/>
      <w:r>
        <w:rPr>
          <w:rFonts w:hint="eastAsia"/>
        </w:rPr>
        <w:t>一般要求</w:t>
      </w:r>
      <w:bookmarkEnd w:id="49"/>
    </w:p>
    <w:p>
      <w:pPr>
        <w:pStyle w:val="162"/>
      </w:pPr>
      <w:r>
        <w:rPr>
          <w:rFonts w:hint="eastAsia" w:cs="宋体"/>
          <w:szCs w:val="21"/>
        </w:rPr>
        <w:t>建设单位（个人）在取得建设工程规划许可证后，应按照城乡规划主管部门要求制作“建设工程规划</w:t>
      </w:r>
      <w:r>
        <w:rPr>
          <w:rFonts w:hint="eastAsia"/>
        </w:rPr>
        <w:t>公示牌”，</w:t>
      </w:r>
      <w:r>
        <w:rPr>
          <w:rFonts w:hint="eastAsia" w:cs="宋体"/>
          <w:color w:val="000000"/>
          <w:szCs w:val="21"/>
        </w:rPr>
        <w:t>并设置在施工现场醒目位置，</w:t>
      </w:r>
      <w:r>
        <w:rPr>
          <w:rFonts w:hint="eastAsia" w:cs="宋体"/>
          <w:szCs w:val="21"/>
        </w:rPr>
        <w:t>接受公众监督，</w:t>
      </w:r>
      <w:r>
        <w:rPr>
          <w:rFonts w:hint="eastAsia"/>
        </w:rPr>
        <w:t>竣工规划核实后方可拆除</w:t>
      </w:r>
      <w:r>
        <w:rPr>
          <w:rFonts w:hint="eastAsia" w:cs="宋体"/>
          <w:szCs w:val="21"/>
        </w:rPr>
        <w:t>。</w:t>
      </w:r>
    </w:p>
    <w:p>
      <w:pPr>
        <w:pStyle w:val="162"/>
      </w:pPr>
      <w:r>
        <w:rPr>
          <w:rFonts w:hint="eastAsia"/>
        </w:rPr>
        <w:t>建设工程规划公示牌内容包括：建设单位（个人）名称、项目名称、工程位置、建设规模、建筑层数、建筑面积、建筑高度、容积率、绿地率、建筑密度等主要技术指标、批准的建设工程设计方案总平面图、批准部门及监督举报电话等。</w:t>
      </w:r>
    </w:p>
    <w:p>
      <w:pPr>
        <w:pStyle w:val="162"/>
      </w:pPr>
      <w:r>
        <w:rPr>
          <w:rFonts w:hint="eastAsia"/>
        </w:rPr>
        <w:t>建设工程规划批后管理服务</w:t>
      </w:r>
      <w:r>
        <w:rPr>
          <w:rFonts w:hint="eastAsia"/>
          <w:lang w:val="en-US" w:eastAsia="zh-CN"/>
        </w:rPr>
        <w:t>期限</w:t>
      </w:r>
      <w:r>
        <w:rPr>
          <w:rFonts w:hint="eastAsia"/>
        </w:rPr>
        <w:t>，自建设工程规划许可证核发之日起，至建设工程竣工规划核实合格结束。</w:t>
      </w:r>
    </w:p>
    <w:p>
      <w:pPr>
        <w:pStyle w:val="162"/>
      </w:pPr>
      <w:r>
        <w:rPr>
          <w:rFonts w:hint="eastAsia"/>
        </w:rPr>
        <w:t>建设单位（个人）和施工单位应主动接受监督检查，如实提供相关资料并协助进场，不应采用欺骗、回避等手段阻碍规划批后管理。</w:t>
      </w:r>
    </w:p>
    <w:p>
      <w:pPr>
        <w:pStyle w:val="162"/>
      </w:pPr>
      <w:r>
        <w:rPr>
          <w:rFonts w:hint="eastAsia"/>
        </w:rPr>
        <w:t>建设单位（个人）在工程建设过程中，不应擅自变更规划许可内容；确需变更的，应按照规划变更审批程序办理，及时进行公示，接受公众监督。在变更申请获得批准后，方可进行变更部分的施工。</w:t>
      </w:r>
    </w:p>
    <w:p>
      <w:pPr>
        <w:pStyle w:val="162"/>
      </w:pPr>
      <w:r>
        <w:rPr>
          <w:rFonts w:hint="eastAsia"/>
        </w:rPr>
        <w:t>超出建设工程规划许可证有效期的，应重新办理有效手续后按照规定开工建设。</w:t>
      </w:r>
    </w:p>
    <w:p>
      <w:pPr>
        <w:pStyle w:val="104"/>
        <w:spacing w:before="312" w:after="312"/>
      </w:pPr>
      <w:bookmarkStart w:id="50" w:name="_Toc172036309"/>
      <w:r>
        <w:rPr>
          <w:rFonts w:hint="eastAsia"/>
        </w:rPr>
        <w:t>管理服务人员配置要求</w:t>
      </w:r>
      <w:bookmarkEnd w:id="50"/>
    </w:p>
    <w:p>
      <w:pPr>
        <w:pStyle w:val="105"/>
        <w:spacing w:before="156" w:after="156"/>
      </w:pPr>
      <w:r>
        <w:rPr>
          <w:rFonts w:hint="eastAsia"/>
        </w:rPr>
        <w:t>人员组成</w:t>
      </w:r>
    </w:p>
    <w:p>
      <w:pPr>
        <w:pStyle w:val="56"/>
        <w:ind w:firstLine="420"/>
      </w:pPr>
      <w:r>
        <w:rPr>
          <w:rFonts w:hint="eastAsia"/>
        </w:rPr>
        <w:t>建设工程规划批后管理服务人员包括城乡规划、城市管理部门以及具备相应资质勘测单位的人员。</w:t>
      </w:r>
    </w:p>
    <w:p>
      <w:pPr>
        <w:pStyle w:val="105"/>
        <w:spacing w:before="156" w:after="156"/>
      </w:pPr>
      <w:r>
        <w:rPr>
          <w:rFonts w:hint="eastAsia"/>
        </w:rPr>
        <w:t>人员数量</w:t>
      </w:r>
    </w:p>
    <w:p>
      <w:pPr>
        <w:pStyle w:val="165"/>
      </w:pPr>
      <w:r>
        <w:rPr>
          <w:rFonts w:hint="eastAsia"/>
        </w:rPr>
        <w:t>在日常管理服务工作中应由2名以上城市管理部门工作人员进行。</w:t>
      </w:r>
    </w:p>
    <w:p>
      <w:pPr>
        <w:pStyle w:val="165"/>
      </w:pPr>
      <w:r>
        <w:rPr>
          <w:rFonts w:hint="eastAsia"/>
        </w:rPr>
        <w:t>建设工程规划验线、正负零复验、外立面材质确认、竣工规划核实时，城乡规划、城市管理等相关部门（单位）应由2名以上工作人员参与进行。</w:t>
      </w:r>
    </w:p>
    <w:p>
      <w:pPr>
        <w:pStyle w:val="105"/>
        <w:spacing w:before="156" w:after="156"/>
      </w:pPr>
      <w:r>
        <w:rPr>
          <w:rFonts w:hint="eastAsia"/>
        </w:rPr>
        <w:t>执法装备及着装要求</w:t>
      </w:r>
    </w:p>
    <w:p>
      <w:pPr>
        <w:pStyle w:val="165"/>
      </w:pPr>
      <w:r>
        <w:rPr>
          <w:rFonts w:hint="eastAsia"/>
          <w:lang w:val="en-US" w:eastAsia="zh-CN"/>
        </w:rPr>
        <w:t>应</w:t>
      </w:r>
      <w:r>
        <w:rPr>
          <w:rFonts w:hint="eastAsia"/>
        </w:rPr>
        <w:t>依据住房和城乡建设</w:t>
      </w:r>
      <w:r>
        <w:rPr>
          <w:rFonts w:hint="eastAsia"/>
          <w:lang w:val="en-US" w:eastAsia="zh-CN"/>
        </w:rPr>
        <w:t>部门颁布的</w:t>
      </w:r>
      <w:r>
        <w:rPr>
          <w:rFonts w:hint="eastAsia"/>
        </w:rPr>
        <w:t>城市管理执法行为规范</w:t>
      </w:r>
      <w:r>
        <w:rPr>
          <w:rFonts w:hint="eastAsia"/>
          <w:lang w:val="en-US" w:eastAsia="zh-CN"/>
        </w:rPr>
        <w:t>的</w:t>
      </w:r>
      <w:r>
        <w:rPr>
          <w:rFonts w:hint="eastAsia"/>
        </w:rPr>
        <w:t>有关规定，配备相应的执法装备</w:t>
      </w:r>
      <w:r>
        <w:rPr>
          <w:rFonts w:hint="eastAsia"/>
          <w:lang w:eastAsia="zh-CN"/>
        </w:rPr>
        <w:t>。</w:t>
      </w:r>
    </w:p>
    <w:p>
      <w:pPr>
        <w:pStyle w:val="165"/>
      </w:pPr>
      <w:r>
        <w:rPr>
          <w:rFonts w:hint="eastAsia"/>
        </w:rPr>
        <w:t>执法人员实施执法时，应穿着统一的制式服装，佩戴统一的帽徽、肩章、领花、臂章、胸徽、胸号等标志标识。</w:t>
      </w:r>
    </w:p>
    <w:p>
      <w:pPr>
        <w:pStyle w:val="165"/>
      </w:pPr>
      <w:r>
        <w:rPr>
          <w:rFonts w:hint="eastAsia"/>
        </w:rPr>
        <w:t>执法人员制式服装应成套规范穿着，保持整洁完好。</w:t>
      </w:r>
    </w:p>
    <w:p>
      <w:pPr>
        <w:pStyle w:val="104"/>
        <w:spacing w:before="312" w:after="312"/>
      </w:pPr>
      <w:bookmarkStart w:id="51" w:name="_Toc172036310"/>
      <w:r>
        <w:rPr>
          <w:rFonts w:hint="eastAsia"/>
        </w:rPr>
        <w:t>工作流程</w:t>
      </w:r>
      <w:bookmarkEnd w:id="51"/>
    </w:p>
    <w:p>
      <w:pPr>
        <w:pStyle w:val="105"/>
        <w:spacing w:before="156" w:after="156"/>
      </w:pPr>
      <w:r>
        <w:rPr>
          <w:rFonts w:hint="eastAsia"/>
        </w:rPr>
        <w:t>规划验线</w:t>
      </w:r>
    </w:p>
    <w:p>
      <w:pPr>
        <w:pStyle w:val="165"/>
      </w:pPr>
      <w:r>
        <w:rPr>
          <w:rFonts w:hint="eastAsia"/>
        </w:rPr>
        <w:t>建设单位（个人）开工前应向城乡规划主管部门提交规划验线申请。经审查具备条件后，由具有相应测绘资质的单位进行现场实测，城乡规划、城市管理等部门依据审批文本位置坐标核验现场放线点位。</w:t>
      </w:r>
    </w:p>
    <w:p>
      <w:pPr>
        <w:pStyle w:val="165"/>
      </w:pPr>
      <w:r>
        <w:rPr>
          <w:rFonts w:hint="eastAsia"/>
        </w:rPr>
        <w:t>规划验线包括以下内容：用地四至界线、建筑位置、建筑退让道路红线和用地界线等控制线的距离、建筑间距、每栋建筑的外墙边线尺寸、地下空间范围线点位等。</w:t>
      </w:r>
    </w:p>
    <w:p>
      <w:pPr>
        <w:pStyle w:val="165"/>
      </w:pPr>
      <w:r>
        <w:rPr>
          <w:rFonts w:hint="eastAsia"/>
        </w:rPr>
        <w:t>勘测单位测量完成后，应出具规划验线测绘报告。报告一式三份，建设单位（个人）、城乡规划、城市管理部门各一份。规划验线合格后，方可进行施工。</w:t>
      </w:r>
    </w:p>
    <w:p>
      <w:pPr>
        <w:pStyle w:val="105"/>
        <w:spacing w:before="156" w:after="156"/>
      </w:pPr>
      <w:r>
        <w:rPr>
          <w:rFonts w:hint="eastAsia"/>
        </w:rPr>
        <w:t>正负零复验</w:t>
      </w:r>
    </w:p>
    <w:p>
      <w:pPr>
        <w:pStyle w:val="165"/>
      </w:pPr>
      <w:r>
        <w:rPr>
          <w:rFonts w:hint="eastAsia"/>
        </w:rPr>
        <w:t>建设工程施工至正负零覆土前，建设单位（个人）应提前告知城乡规划、城市管理部门，经审查具备条件后，由具有相应资质的勘测单位进行现场实测。</w:t>
      </w:r>
    </w:p>
    <w:p>
      <w:pPr>
        <w:pStyle w:val="165"/>
      </w:pPr>
      <w:r>
        <w:rPr>
          <w:rFonts w:hint="eastAsia"/>
        </w:rPr>
        <w:t>勘测单位应依据实测数据出具建设工程正负零勘测报告。报告一式三份，建设单位、城乡规划、城市管理部门各一份。复验合格后，方可进行主体施工。</w:t>
      </w:r>
    </w:p>
    <w:p>
      <w:pPr>
        <w:pStyle w:val="105"/>
        <w:spacing w:before="156" w:after="156"/>
      </w:pPr>
      <w:r>
        <w:rPr>
          <w:rFonts w:hint="eastAsia"/>
        </w:rPr>
        <w:t>外立面颜色、材质确认</w:t>
      </w:r>
    </w:p>
    <w:p>
      <w:pPr>
        <w:pStyle w:val="165"/>
      </w:pPr>
      <w:r>
        <w:rPr>
          <w:rFonts w:hint="eastAsia"/>
        </w:rPr>
        <w:t>建设工程主体施工完成后、外立面施工作业前，建设单位（个人）应告知城乡规划、城市管理部门。经审查具备条件后，联合进行现场确认。</w:t>
      </w:r>
    </w:p>
    <w:p>
      <w:pPr>
        <w:pStyle w:val="165"/>
      </w:pPr>
      <w:r>
        <w:rPr>
          <w:rFonts w:hint="eastAsia"/>
        </w:rPr>
        <w:t>城乡规划、城市管理部门应依据规划文本所注色号（标准比色卡）、材质进行现场比对、确认。确认合格后，方可进行外立面施工。</w:t>
      </w:r>
    </w:p>
    <w:p>
      <w:pPr>
        <w:pStyle w:val="105"/>
        <w:spacing w:before="156" w:after="156"/>
      </w:pPr>
      <w:r>
        <w:rPr>
          <w:rFonts w:hint="eastAsia"/>
        </w:rPr>
        <w:t>竣工规划核实</w:t>
      </w:r>
    </w:p>
    <w:p>
      <w:pPr>
        <w:pStyle w:val="165"/>
      </w:pPr>
      <w:r>
        <w:rPr>
          <w:rFonts w:hint="eastAsia"/>
        </w:rPr>
        <w:t>建设工程竣工后，由具有相应资质的勘测单位对建设工程实施情况进行竣工测绘，并出具“多测合一”成果报告。</w:t>
      </w:r>
    </w:p>
    <w:p>
      <w:pPr>
        <w:pStyle w:val="165"/>
      </w:pPr>
      <w:r>
        <w:rPr>
          <w:rFonts w:hint="eastAsia"/>
        </w:rPr>
        <w:t>建设单位（个人）在申请建设工程竣工规划核实前，应按照要求拆除临时建设。</w:t>
      </w:r>
    </w:p>
    <w:p>
      <w:pPr>
        <w:pStyle w:val="165"/>
      </w:pPr>
      <w:r>
        <w:rPr>
          <w:rFonts w:hint="eastAsia"/>
        </w:rPr>
        <w:t>建设单位（个人）应向城乡规划、城市管理部门提交“多测合一”成果报告、规划批后管理服务手册等资料。</w:t>
      </w:r>
    </w:p>
    <w:p>
      <w:pPr>
        <w:pStyle w:val="165"/>
      </w:pPr>
      <w:r>
        <w:rPr>
          <w:rFonts w:hint="eastAsia"/>
        </w:rPr>
        <w:t>经审查具备条件后，城乡规划、城市管理部门应进场核实。符合规划许可内容的，城乡规划主管部门核发《建设工程竣工规划核实合格证》。</w:t>
      </w:r>
    </w:p>
    <w:p>
      <w:pPr>
        <w:pStyle w:val="165"/>
      </w:pPr>
      <w:r>
        <w:rPr>
          <w:rFonts w:hint="eastAsia"/>
        </w:rPr>
        <w:t>建设工程竣工规划核实合格后，属地城市管理部门应跟进做好后续日常管理服务工作。</w:t>
      </w:r>
    </w:p>
    <w:p>
      <w:pPr>
        <w:pStyle w:val="105"/>
        <w:spacing w:before="156" w:after="156"/>
      </w:pPr>
      <w:r>
        <w:rPr>
          <w:rFonts w:hint="eastAsia"/>
        </w:rPr>
        <w:t>跟踪服务</w:t>
      </w:r>
    </w:p>
    <w:p>
      <w:pPr>
        <w:pStyle w:val="165"/>
      </w:pPr>
      <w:r>
        <w:rPr>
          <w:rFonts w:hint="eastAsia"/>
        </w:rPr>
        <w:t>城乡规划、城市管理部门应根据工程进度对建设工程进行跟踪服务，提出跟踪指导意见。</w:t>
      </w:r>
    </w:p>
    <w:p>
      <w:pPr>
        <w:pStyle w:val="165"/>
      </w:pPr>
      <w:r>
        <w:rPr>
          <w:rFonts w:hint="eastAsia"/>
        </w:rPr>
        <w:t>建设工程跟踪指导核查内容包括：建筑物层数和高度、建筑造型、出入口位置、停车场（位）位置及数量等。</w:t>
      </w:r>
    </w:p>
    <w:p>
      <w:pPr>
        <w:pStyle w:val="104"/>
        <w:spacing w:before="312" w:after="312"/>
      </w:pPr>
      <w:bookmarkStart w:id="52" w:name="_Toc172036311"/>
      <w:r>
        <w:rPr>
          <w:rFonts w:hint="eastAsia"/>
        </w:rPr>
        <w:t>保障措施</w:t>
      </w:r>
      <w:bookmarkEnd w:id="52"/>
    </w:p>
    <w:p>
      <w:pPr>
        <w:pStyle w:val="56"/>
        <w:ind w:firstLine="420"/>
      </w:pPr>
      <w:r>
        <w:rPr>
          <w:rFonts w:hint="eastAsia"/>
        </w:rPr>
        <w:t>城乡规划、城市管理部门应为建设工程项目配备管理服务包保人员，公布服务电话，听取、收集相关意见及建议。</w:t>
      </w:r>
    </w:p>
    <w:bookmarkEnd w:id="24"/>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ind w:firstLine="0" w:firstLineChars="0"/>
        <w:jc w:val="center"/>
      </w:pPr>
    </w:p>
    <w:p>
      <w:pPr>
        <w:pStyle w:val="56"/>
        <w:keepNext w:val="0"/>
        <w:keepLines w:val="0"/>
        <w:pageBreakBefore w:val="0"/>
        <w:widowControl/>
        <w:kinsoku/>
        <w:wordWrap/>
        <w:overflowPunct/>
        <w:topLinePunct w:val="0"/>
        <w:autoSpaceDE w:val="0"/>
        <w:autoSpaceDN w:val="0"/>
        <w:bidi w:val="0"/>
        <w:adjustRightInd/>
        <w:snapToGrid/>
        <w:spacing w:before="126" w:beforeLines="40" w:after="157" w:afterLines="50"/>
        <w:ind w:firstLine="0" w:firstLineChars="0"/>
        <w:jc w:val="center"/>
        <w:textAlignment w:val="auto"/>
        <w:rPr>
          <w:rFonts w:hint="eastAsia" w:ascii="黑体" w:hAnsi="Times New Roman" w:eastAsia="黑体" w:cs="Times New Roman"/>
          <w:sz w:val="21"/>
          <w:lang w:val="en-US" w:eastAsia="zh-CN" w:bidi="ar-SA"/>
        </w:rPr>
      </w:pPr>
    </w:p>
    <w:p>
      <w:pPr>
        <w:pStyle w:val="56"/>
        <w:keepNext w:val="0"/>
        <w:keepLines w:val="0"/>
        <w:pageBreakBefore w:val="0"/>
        <w:widowControl/>
        <w:kinsoku/>
        <w:wordWrap/>
        <w:overflowPunct/>
        <w:topLinePunct w:val="0"/>
        <w:autoSpaceDE w:val="0"/>
        <w:autoSpaceDN w:val="0"/>
        <w:bidi w:val="0"/>
        <w:adjustRightInd/>
        <w:snapToGrid/>
        <w:spacing w:before="126" w:beforeLines="40" w:after="157" w:afterLines="50"/>
        <w:ind w:firstLine="0" w:firstLineChars="0"/>
        <w:jc w:val="center"/>
        <w:textAlignment w:val="auto"/>
        <w:rPr>
          <w:rFonts w:hint="eastAsia" w:ascii="黑体" w:hAnsi="Times New Roman" w:eastAsia="黑体" w:cs="Times New Roman"/>
          <w:sz w:val="21"/>
          <w:lang w:val="en-US" w:eastAsia="zh-CN" w:bidi="ar-SA"/>
        </w:rPr>
      </w:pPr>
      <w:r>
        <w:rPr>
          <w:rFonts w:hint="eastAsia" w:ascii="黑体" w:hAnsi="Times New Roman" w:eastAsia="黑体" w:cs="Times New Roman"/>
          <w:sz w:val="21"/>
          <w:lang w:val="en-US" w:eastAsia="zh-CN" w:bidi="ar-SA"/>
        </w:rPr>
        <w:t>参 考 文 献</w:t>
      </w:r>
    </w:p>
    <w:p>
      <w:pPr>
        <w:pStyle w:val="230"/>
        <w:numPr>
          <w:ilvl w:val="0"/>
          <w:numId w:val="32"/>
        </w:numPr>
        <w:tabs>
          <w:tab w:val="center" w:pos="4201"/>
          <w:tab w:val="right" w:leader="dot" w:pos="9298"/>
        </w:tabs>
        <w:rPr>
          <w:rFonts w:hint="eastAsia" w:hAnsi="Calibri" w:cs="Times New Roman"/>
          <w:color w:val="auto"/>
          <w:lang w:val="en-US" w:eastAsia="zh-CN"/>
        </w:rPr>
      </w:pPr>
      <w:r>
        <w:rPr>
          <w:rFonts w:hint="eastAsia" w:hAnsi="Calibri" w:eastAsia="宋体" w:cs="Times New Roman"/>
          <w:color w:val="auto"/>
          <w:lang w:val="en-US" w:eastAsia="zh-CN"/>
        </w:rPr>
        <w:t xml:space="preserve"> </w:t>
      </w:r>
      <w:r>
        <w:rPr>
          <w:rFonts w:hint="eastAsia" w:hAnsi="Calibri" w:cs="Times New Roman"/>
          <w:color w:val="auto"/>
          <w:lang w:val="en-US" w:eastAsia="zh-CN"/>
        </w:rPr>
        <w:t>《</w:t>
      </w:r>
      <w:r>
        <w:rPr>
          <w:rFonts w:hint="eastAsia" w:hAnsi="Calibri" w:eastAsia="宋体" w:cs="Times New Roman"/>
          <w:color w:val="auto"/>
          <w:lang w:val="en-US" w:eastAsia="zh-CN"/>
        </w:rPr>
        <w:t>中华人民共和国城乡规划法</w:t>
      </w:r>
      <w:r>
        <w:rPr>
          <w:rFonts w:hint="eastAsia" w:hAnsi="Calibri" w:cs="Times New Roman"/>
          <w:color w:val="auto"/>
          <w:lang w:val="en-US" w:eastAsia="zh-CN"/>
        </w:rPr>
        <w:t>》</w:t>
      </w:r>
    </w:p>
    <w:p>
      <w:pPr>
        <w:pStyle w:val="230"/>
        <w:numPr>
          <w:numId w:val="0"/>
        </w:numPr>
        <w:tabs>
          <w:tab w:val="center" w:pos="4201"/>
          <w:tab w:val="right" w:leader="dot" w:pos="9298"/>
        </w:tabs>
        <w:ind w:firstLine="420" w:firstLineChars="200"/>
        <w:rPr>
          <w:rFonts w:hint="default" w:hAnsi="Calibri" w:eastAsia="宋体" w:cs="Times New Roman"/>
          <w:color w:val="auto"/>
          <w:lang w:val="en-US" w:eastAsia="zh-CN"/>
        </w:rPr>
      </w:pPr>
      <w:r>
        <w:rPr>
          <w:rFonts w:hint="eastAsia" w:hAnsi="Calibri" w:eastAsia="宋体" w:cs="Times New Roman"/>
          <w:color w:val="auto"/>
          <w:lang w:val="en-US" w:eastAsia="zh-CN"/>
        </w:rPr>
        <w:t>[2]</w:t>
      </w:r>
      <w:r>
        <w:rPr>
          <w:rFonts w:hint="eastAsia" w:hAnsi="Calibri" w:cs="Times New Roman"/>
          <w:color w:val="auto"/>
          <w:lang w:val="en-US" w:eastAsia="zh-CN"/>
        </w:rPr>
        <w:t xml:space="preserve"> </w:t>
      </w:r>
      <w:r>
        <w:rPr>
          <w:rFonts w:hint="eastAsia" w:hAnsi="Calibri" w:eastAsia="宋体" w:cs="Times New Roman"/>
          <w:color w:val="auto"/>
          <w:lang w:val="en-US" w:eastAsia="zh-CN"/>
        </w:rPr>
        <w:t xml:space="preserve"> </w:t>
      </w:r>
      <w:r>
        <w:rPr>
          <w:rFonts w:hint="eastAsia" w:hAnsi="Calibri" w:cs="Times New Roman"/>
          <w:color w:val="auto"/>
          <w:lang w:val="en-US" w:eastAsia="zh-CN"/>
        </w:rPr>
        <w:t>《</w:t>
      </w:r>
      <w:r>
        <w:rPr>
          <w:rFonts w:hint="eastAsia" w:hAnsi="Calibri" w:eastAsia="宋体" w:cs="Times New Roman"/>
          <w:color w:val="auto"/>
          <w:lang w:val="en-US" w:eastAsia="zh-CN"/>
        </w:rPr>
        <w:t>山东省城乡规划条例</w:t>
      </w:r>
      <w:r>
        <w:rPr>
          <w:rFonts w:hint="eastAsia" w:hAnsi="Calibri" w:cs="Times New Roman"/>
          <w:color w:val="auto"/>
          <w:lang w:val="en-US" w:eastAsia="zh-CN"/>
        </w:rPr>
        <w:t>》</w:t>
      </w:r>
      <w:r>
        <w:rPr>
          <w:rFonts w:hint="eastAsia" w:hAnsi="Calibri" w:cs="Times New Roman"/>
          <w:color w:val="auto"/>
          <w:lang w:val="en-US" w:eastAsia="zh-CN"/>
        </w:rPr>
        <w:t xml:space="preserve"> </w:t>
      </w:r>
    </w:p>
    <w:p>
      <w:pPr>
        <w:pStyle w:val="230"/>
        <w:tabs>
          <w:tab w:val="center" w:pos="4201"/>
          <w:tab w:val="right" w:leader="dot" w:pos="9298"/>
        </w:tabs>
        <w:rPr>
          <w:rFonts w:hint="default" w:hAnsi="Calibri" w:eastAsia="宋体" w:cs="Times New Roman"/>
          <w:color w:val="auto"/>
          <w:lang w:val="en-US" w:eastAsia="zh-CN"/>
        </w:rPr>
      </w:pPr>
      <w:r>
        <w:rPr>
          <w:rFonts w:hint="eastAsia" w:hAnsi="Calibri" w:eastAsia="宋体" w:cs="Times New Roman"/>
          <w:color w:val="auto"/>
          <w:lang w:val="en-US" w:eastAsia="zh-CN"/>
        </w:rPr>
        <w:t xml:space="preserve">[3]  </w:t>
      </w:r>
      <w:r>
        <w:rPr>
          <w:rFonts w:hint="eastAsia" w:hAnsi="Calibri" w:cs="Times New Roman"/>
          <w:color w:val="auto"/>
          <w:lang w:val="en-US" w:eastAsia="zh-CN"/>
        </w:rPr>
        <w:t>《</w:t>
      </w:r>
      <w:r>
        <w:rPr>
          <w:rFonts w:hint="eastAsia" w:hAnsi="Calibri" w:eastAsia="宋体" w:cs="Times New Roman"/>
          <w:color w:val="auto"/>
          <w:lang w:val="en-US" w:eastAsia="zh-CN"/>
        </w:rPr>
        <w:t>济宁市城乡规划管理技术规定</w:t>
      </w:r>
      <w:r>
        <w:rPr>
          <w:rFonts w:hint="eastAsia" w:hAnsi="Calibri" w:cs="Times New Roman"/>
          <w:color w:val="auto"/>
          <w:lang w:val="en-US" w:eastAsia="zh-CN"/>
        </w:rPr>
        <w:t xml:space="preserve">》    </w:t>
      </w:r>
    </w:p>
    <w:p>
      <w:pPr>
        <w:pStyle w:val="230"/>
        <w:tabs>
          <w:tab w:val="center" w:pos="4201"/>
          <w:tab w:val="right" w:leader="dot" w:pos="9298"/>
        </w:tabs>
        <w:rPr>
          <w:rFonts w:hint="eastAsia" w:hAnsi="Calibri" w:eastAsia="宋体" w:cs="Times New Roman"/>
          <w:color w:val="auto"/>
          <w:lang w:val="en-US" w:eastAsia="zh-CN"/>
        </w:rPr>
      </w:pPr>
      <w:r>
        <w:rPr>
          <w:rFonts w:hint="eastAsia" w:hAnsi="Calibri" w:eastAsia="宋体" w:cs="Times New Roman"/>
          <w:color w:val="auto"/>
          <w:lang w:val="en-US" w:eastAsia="zh-CN"/>
        </w:rPr>
        <w:t>[</w:t>
      </w:r>
      <w:r>
        <w:rPr>
          <w:rFonts w:hint="eastAsia" w:hAnsi="Calibri" w:cs="Times New Roman"/>
          <w:color w:val="auto"/>
          <w:lang w:val="en-US" w:eastAsia="zh-CN"/>
        </w:rPr>
        <w:t>4</w:t>
      </w:r>
      <w:r>
        <w:rPr>
          <w:rFonts w:hint="eastAsia" w:hAnsi="Calibri" w:eastAsia="宋体" w:cs="Times New Roman"/>
          <w:color w:val="auto"/>
          <w:lang w:val="en-US" w:eastAsia="zh-CN"/>
        </w:rPr>
        <w:t>]</w:t>
      </w:r>
      <w:r>
        <w:rPr>
          <w:rFonts w:hint="eastAsia" w:hAnsi="Calibri" w:cs="Times New Roman"/>
          <w:color w:val="auto"/>
          <w:lang w:val="en-US" w:eastAsia="zh-CN"/>
        </w:rPr>
        <w:t xml:space="preserve">  《</w:t>
      </w:r>
      <w:r>
        <w:rPr>
          <w:rFonts w:hint="eastAsia" w:ascii="宋体" w:hAnsi="宋体" w:eastAsia="宋体" w:cs="宋体"/>
          <w:color w:val="000000" w:themeColor="text1"/>
          <w:sz w:val="21"/>
          <w:szCs w:val="21"/>
          <w:lang w:eastAsia="zh-CN"/>
          <w14:textFill>
            <w14:solidFill>
              <w14:schemeClr w14:val="tx1"/>
            </w14:solidFill>
          </w14:textFill>
        </w:rPr>
        <w:t>山东省工程建设项目</w:t>
      </w:r>
      <w:r>
        <w:rPr>
          <w:rFonts w:hint="eastAsia" w:hAnsi="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eastAsia="zh-CN"/>
          <w14:textFill>
            <w14:solidFill>
              <w14:schemeClr w14:val="tx1"/>
            </w14:solidFill>
          </w14:textFill>
        </w:rPr>
        <w:t>多测合一</w:t>
      </w:r>
      <w:r>
        <w:rPr>
          <w:rFonts w:hint="eastAsia" w:hAnsi="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eastAsia="zh-CN"/>
          <w14:textFill>
            <w14:solidFill>
              <w14:schemeClr w14:val="tx1"/>
            </w14:solidFill>
          </w14:textFill>
        </w:rPr>
        <w:t>技术规程（试行）</w:t>
      </w:r>
      <w:r>
        <w:rPr>
          <w:rFonts w:hint="eastAsia" w:hAnsi="宋体" w:cs="宋体"/>
          <w:color w:val="000000" w:themeColor="text1"/>
          <w:sz w:val="21"/>
          <w:szCs w:val="21"/>
          <w:lang w:eastAsia="zh-CN"/>
          <w14:textFill>
            <w14:solidFill>
              <w14:schemeClr w14:val="tx1"/>
            </w14:solidFill>
          </w14:textFill>
        </w:rPr>
        <w:t>》</w:t>
      </w:r>
      <w:bookmarkStart w:id="54" w:name="_GoBack"/>
      <w:bookmarkEnd w:id="54"/>
    </w:p>
    <w:p>
      <w:pPr>
        <w:pStyle w:val="56"/>
        <w:ind w:firstLine="0" w:firstLineChars="0"/>
        <w:jc w:val="center"/>
      </w:pPr>
      <w:bookmarkStart w:id="53" w:name="BookMark8"/>
      <w: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6"/>
                    <a:stretch>
                      <a:fillRect/>
                    </a:stretch>
                  </pic:blipFill>
                  <pic:spPr>
                    <a:xfrm>
                      <a:off x="0" y="0"/>
                      <a:ext cx="1485900" cy="317500"/>
                    </a:xfrm>
                    <a:prstGeom prst="rect">
                      <a:avLst/>
                    </a:prstGeom>
                  </pic:spPr>
                </pic:pic>
              </a:graphicData>
            </a:graphic>
          </wp:inline>
        </w:drawing>
      </w:r>
      <w:bookmarkEnd w:id="53"/>
    </w:p>
    <w:p>
      <w:pPr>
        <w:pStyle w:val="56"/>
        <w:ind w:firstLine="0" w:firstLineChars="0"/>
        <w:jc w:val="both"/>
        <w:rPr>
          <w:rFonts w:hint="eastAsia" w:ascii="黑体" w:hAnsi="Times New Roman" w:eastAsia="黑体" w:cs="Times New Roman"/>
          <w:sz w:val="21"/>
          <w:lang w:val="en-US" w:eastAsia="zh-CN" w:bidi="ar-SA"/>
        </w:rPr>
      </w:pPr>
    </w:p>
    <w:sectPr>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3708/T XXXX—2024</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3708/T XXXX—2024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099309"/>
    <w:multiLevelType w:val="singleLevel"/>
    <w:tmpl w:val="CB099309"/>
    <w:lvl w:ilvl="0" w:tentative="0">
      <w:start w:val="1"/>
      <w:numFmt w:val="decimal"/>
      <w:suff w:val="space"/>
      <w:lvlText w:val="[%1]"/>
      <w:lvlJc w:val="left"/>
    </w:lvl>
  </w:abstractNum>
  <w:abstractNum w:abstractNumId="1">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2">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8">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28"/>
  </w:num>
  <w:num w:numId="3">
    <w:abstractNumId w:val="6"/>
  </w:num>
  <w:num w:numId="4">
    <w:abstractNumId w:val="24"/>
  </w:num>
  <w:num w:numId="5">
    <w:abstractNumId w:val="19"/>
  </w:num>
  <w:num w:numId="6">
    <w:abstractNumId w:val="14"/>
  </w:num>
  <w:num w:numId="7">
    <w:abstractNumId w:val="9"/>
  </w:num>
  <w:num w:numId="8">
    <w:abstractNumId w:val="4"/>
  </w:num>
  <w:num w:numId="9">
    <w:abstractNumId w:val="10"/>
  </w:num>
  <w:num w:numId="10">
    <w:abstractNumId w:val="17"/>
  </w:num>
  <w:num w:numId="11">
    <w:abstractNumId w:val="26"/>
  </w:num>
  <w:num w:numId="12">
    <w:abstractNumId w:val="12"/>
  </w:num>
  <w:num w:numId="13">
    <w:abstractNumId w:val="13"/>
  </w:num>
  <w:num w:numId="14">
    <w:abstractNumId w:val="8"/>
  </w:num>
  <w:num w:numId="15">
    <w:abstractNumId w:val="20"/>
  </w:num>
  <w:num w:numId="16">
    <w:abstractNumId w:val="22"/>
  </w:num>
  <w:num w:numId="17">
    <w:abstractNumId w:val="18"/>
  </w:num>
  <w:num w:numId="18">
    <w:abstractNumId w:val="30"/>
  </w:num>
  <w:num w:numId="19">
    <w:abstractNumId w:val="16"/>
  </w:num>
  <w:num w:numId="20">
    <w:abstractNumId w:val="2"/>
  </w:num>
  <w:num w:numId="21">
    <w:abstractNumId w:val="11"/>
  </w:num>
  <w:num w:numId="22">
    <w:abstractNumId w:val="31"/>
  </w:num>
  <w:num w:numId="23">
    <w:abstractNumId w:val="21"/>
  </w:num>
  <w:num w:numId="24">
    <w:abstractNumId w:val="7"/>
  </w:num>
  <w:num w:numId="25">
    <w:abstractNumId w:val="27"/>
  </w:num>
  <w:num w:numId="26">
    <w:abstractNumId w:val="29"/>
  </w:num>
  <w:num w:numId="27">
    <w:abstractNumId w:val="3"/>
  </w:num>
  <w:num w:numId="28">
    <w:abstractNumId w:val="5"/>
  </w:num>
  <w:num w:numId="29">
    <w:abstractNumId w:val="15"/>
  </w:num>
  <w:num w:numId="30">
    <w:abstractNumId w:val="25"/>
  </w:num>
  <w:num w:numId="31">
    <w:abstractNumId w:val="23"/>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bordersDoNotSurroundHeader w:val="0"/>
  <w:bordersDoNotSurroundFooter w:val="0"/>
  <w:attachedTemplate r:id="rId1"/>
  <w:documentProtection w:edit="forms" w:enforcement="1" w:cryptProviderType="rsaAES" w:cryptAlgorithmClass="hash" w:cryptAlgorithmType="typeAny" w:cryptAlgorithmSid="14" w:cryptSpinCount="100000" w:hash="va40WKCB1S0Ce0/xPyflwpxh2N26cuMVsLS3VRrEALvkruZIcPFA0+1KMemRGv5RG4EwqM1bD/d42wMsaPWpvw==" w:salt="7CLBj8jZ+SDgyTISqEWX8g=="/>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E5NjY3Y2VlNjdkYTEyMmVlZTY3OWMzMTliYWNiNzQifQ=="/>
    <w:docVar w:name="KSO_WPS_MARK_KEY" w:val="3ecefb9c-c259-4eaa-91d7-bbe86025ccc3"/>
  </w:docVars>
  <w:rsids>
    <w:rsidRoot w:val="00E127A0"/>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13A2"/>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2B4F"/>
    <w:rsid w:val="001642FA"/>
    <w:rsid w:val="001649EB"/>
    <w:rsid w:val="00164BAF"/>
    <w:rsid w:val="00164FA8"/>
    <w:rsid w:val="00165065"/>
    <w:rsid w:val="00165434"/>
    <w:rsid w:val="0016580B"/>
    <w:rsid w:val="00165F49"/>
    <w:rsid w:val="00166B88"/>
    <w:rsid w:val="001672EC"/>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0DF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32AD"/>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869DC"/>
    <w:rsid w:val="009911AF"/>
    <w:rsid w:val="00991875"/>
    <w:rsid w:val="00991F92"/>
    <w:rsid w:val="00992985"/>
    <w:rsid w:val="00993889"/>
    <w:rsid w:val="0099551B"/>
    <w:rsid w:val="00997BF1"/>
    <w:rsid w:val="009A089C"/>
    <w:rsid w:val="009A118E"/>
    <w:rsid w:val="009A21CD"/>
    <w:rsid w:val="009A278C"/>
    <w:rsid w:val="009A2BC2"/>
    <w:rsid w:val="009A2F6C"/>
    <w:rsid w:val="009A42C1"/>
    <w:rsid w:val="009A5429"/>
    <w:rsid w:val="009A72AD"/>
    <w:rsid w:val="009B09E0"/>
    <w:rsid w:val="009B0BC5"/>
    <w:rsid w:val="009B1247"/>
    <w:rsid w:val="009B46F9"/>
    <w:rsid w:val="009B6029"/>
    <w:rsid w:val="009B6971"/>
    <w:rsid w:val="009C1008"/>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6481"/>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2F59"/>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0CB3"/>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766C2"/>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4E36"/>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4E98"/>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0F0"/>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27A0"/>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3BF6"/>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0D3F"/>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764271A"/>
    <w:rsid w:val="08723071"/>
    <w:rsid w:val="0D437C43"/>
    <w:rsid w:val="12436D13"/>
    <w:rsid w:val="12701690"/>
    <w:rsid w:val="17BE19D3"/>
    <w:rsid w:val="19F927D5"/>
    <w:rsid w:val="1E6A4663"/>
    <w:rsid w:val="203A1885"/>
    <w:rsid w:val="24FF11B2"/>
    <w:rsid w:val="4CE82C90"/>
    <w:rsid w:val="51881C50"/>
    <w:rsid w:val="5BA731E0"/>
    <w:rsid w:val="5C4D625A"/>
    <w:rsid w:val="5DE854E8"/>
    <w:rsid w:val="64CC543C"/>
    <w:rsid w:val="678C42CF"/>
    <w:rsid w:val="70366220"/>
    <w:rsid w:val="71097B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段"/>
    <w:qFormat/>
    <w:uiPriority w:val="0"/>
    <w:pPr>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13C551BDE5804B49AB9DB70B5CBD44FD"/>
        <w:style w:val=""/>
        <w:category>
          <w:name w:val="常规"/>
          <w:gallery w:val="placeholder"/>
        </w:category>
        <w:types>
          <w:type w:val="bbPlcHdr"/>
        </w:types>
        <w:behaviors>
          <w:behavior w:val="content"/>
        </w:behaviors>
        <w:description w:val=""/>
        <w:guid w:val="{F4C32461-37F0-42F1-83C7-3EF5B04DAF1B}"/>
      </w:docPartPr>
      <w:docPartBody>
        <w:p>
          <w:pPr>
            <w:pStyle w:val="5"/>
          </w:pPr>
          <w:r>
            <w:rPr>
              <w:rStyle w:val="4"/>
              <w:rFonts w:hint="eastAsia"/>
            </w:rPr>
            <w:t>单击或点击此处输入文字。</w:t>
          </w:r>
        </w:p>
      </w:docPartBody>
    </w:docPart>
    <w:docPart>
      <w:docPartPr>
        <w:name w:val="DCEE669C2D854F4486F88DD1866CE9F2"/>
        <w:style w:val=""/>
        <w:category>
          <w:name w:val="常规"/>
          <w:gallery w:val="placeholder"/>
        </w:category>
        <w:types>
          <w:type w:val="bbPlcHdr"/>
        </w:types>
        <w:behaviors>
          <w:behavior w:val="content"/>
        </w:behaviors>
        <w:description w:val=""/>
        <w:guid w:val="{54D3B66E-36F3-4B3D-A8A6-2951EEFEAF45}"/>
      </w:docPartPr>
      <w:docPartBody>
        <w:p>
          <w:pPr>
            <w:pStyle w:val="6"/>
          </w:pPr>
          <w:r>
            <w:rPr>
              <w:rStyle w:val="4"/>
              <w:rFonts w:hint="eastAsia"/>
            </w:rPr>
            <w:t>选择一项。</w:t>
          </w:r>
        </w:p>
      </w:docPartBody>
    </w:docPart>
    <w:docPart>
      <w:docPartPr>
        <w:name w:val="901DEACA262F4E1183C7DC6885098469"/>
        <w:style w:val=""/>
        <w:category>
          <w:name w:val="常规"/>
          <w:gallery w:val="placeholder"/>
        </w:category>
        <w:types>
          <w:type w:val="bbPlcHdr"/>
        </w:types>
        <w:behaviors>
          <w:behavior w:val="content"/>
        </w:behaviors>
        <w:description w:val=""/>
        <w:guid w:val="{F2DAD7AE-2E0A-4C49-BEFE-C8F268290DD1}"/>
      </w:docPartPr>
      <w:docPartBody>
        <w:p>
          <w:pPr>
            <w:pStyle w:val="7"/>
          </w:pPr>
          <w:r>
            <w:rPr>
              <w:rStyle w:val="4"/>
              <w:rFonts w:hint="eastAsia"/>
            </w:rPr>
            <w:t>选择一项。</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127"/>
    <w:rsid w:val="00162B4F"/>
    <w:rsid w:val="00396F2F"/>
    <w:rsid w:val="009B3737"/>
    <w:rsid w:val="00CB4E36"/>
    <w:rsid w:val="00D06793"/>
    <w:rsid w:val="00D64E98"/>
    <w:rsid w:val="00DA10F0"/>
    <w:rsid w:val="00DD0127"/>
    <w:rsid w:val="00F416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13C551BDE5804B49AB9DB70B5CBD44FD"/>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6">
    <w:name w:val="DCEE669C2D854F4486F88DD1866CE9F2"/>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7">
    <w:name w:val="901DEACA262F4E1183C7DC6885098469"/>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F03465-9310-430F-A8A0-DFC80D2CA8A6}">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6</Pages>
  <Words>2018</Words>
  <Characters>2180</Characters>
  <Lines>22</Lines>
  <Paragraphs>6</Paragraphs>
  <TotalTime>131</TotalTime>
  <ScaleCrop>false</ScaleCrop>
  <LinksUpToDate>false</LinksUpToDate>
  <CharactersWithSpaces>2260</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2024-07-16T07:11:00Z</dcterms:created>
  <dc:creator>任柏达</dc:creator>
  <dc:description>&lt;config cover="true" show_menu="true" version="1.0.0" doctype="SDKXY"&gt;_x000d_
&lt;/config&gt;</dc:description>
  <cp:lastModifiedBy>WPS_1684134255</cp:lastModifiedBy>
  <cp:lastPrinted>2020-08-30T10:00:00Z</cp:lastPrinted>
  <dcterms:modified xsi:type="dcterms:W3CDTF">2024-08-02T09:04:55Z</dcterms:modified>
  <dc:title>地方标准</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2052-11.8.6.11825</vt:lpwstr>
  </property>
  <property fmtid="{D5CDD505-2E9C-101B-9397-08002B2CF9AE}" pid="15" name="ICV">
    <vt:lpwstr>ECB6CB671A29402994DEC48C32A33D7E</vt:lpwstr>
  </property>
</Properties>
</file>